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355747" w:rsidRPr="00332DB6" w:rsidTr="000074CF">
        <w:trPr>
          <w:trHeight w:val="359"/>
        </w:trPr>
        <w:tc>
          <w:tcPr>
            <w:tcW w:w="4248" w:type="dxa"/>
            <w:gridSpan w:val="2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32DB6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9BCD9E2" wp14:editId="7CFF824C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5747" w:rsidRPr="00332DB6" w:rsidTr="000074CF">
        <w:trPr>
          <w:trHeight w:val="904"/>
        </w:trPr>
        <w:tc>
          <w:tcPr>
            <w:tcW w:w="6948" w:type="dxa"/>
            <w:gridSpan w:val="4"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355747" w:rsidRPr="00332DB6" w:rsidRDefault="00355747" w:rsidP="000074CF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32DB6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355747" w:rsidRPr="00332DB6" w:rsidRDefault="00355747" w:rsidP="000074CF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355747" w:rsidRPr="00332DB6" w:rsidTr="000074CF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355747" w:rsidRPr="00332DB6" w:rsidRDefault="00355747" w:rsidP="000074CF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332DB6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355747" w:rsidRPr="00332DB6" w:rsidRDefault="00355747" w:rsidP="0035574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355747" w:rsidRPr="00332DB6" w:rsidTr="000074CF">
        <w:tc>
          <w:tcPr>
            <w:tcW w:w="2660" w:type="dxa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ZP-2/2021</w:t>
            </w:r>
          </w:p>
        </w:tc>
        <w:tc>
          <w:tcPr>
            <w:tcW w:w="2158" w:type="dxa"/>
            <w:hideMark/>
          </w:tcPr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23.03.2021</w:t>
            </w:r>
            <w:r w:rsidRPr="00332DB6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  <w:p w:rsidR="00355747" w:rsidRPr="00332DB6" w:rsidRDefault="00355747" w:rsidP="000074C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355747" w:rsidRPr="00C042AE" w:rsidRDefault="00355747" w:rsidP="00355747">
      <w:pPr>
        <w:pStyle w:val="gwp641176f1msonormal"/>
        <w:spacing w:before="0" w:beforeAutospacing="0" w:after="0" w:afterAutospacing="0"/>
        <w:ind w:left="5664"/>
        <w:rPr>
          <w:color w:val="2D2D2D"/>
        </w:rPr>
      </w:pPr>
      <w:r>
        <w:rPr>
          <w:b/>
          <w:bCs/>
          <w:color w:val="2D2D2D"/>
        </w:rPr>
        <w:t>Do wszystkich zainteresowanych</w:t>
      </w:r>
    </w:p>
    <w:p w:rsidR="00355747" w:rsidRPr="00332DB6" w:rsidRDefault="00355747" w:rsidP="00355747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5747" w:rsidRDefault="00355747" w:rsidP="00355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rybie podstawowym nr ZP-2/2021</w:t>
      </w:r>
      <w:r w:rsidRPr="00F76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F76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8650E4">
        <w:rPr>
          <w:rFonts w:ascii="Times New Roman" w:eastAsia="Times New Roman" w:hAnsi="Times New Roman" w:cs="Times New Roman"/>
          <w:b/>
          <w:sz w:val="24"/>
          <w:lang w:eastAsia="pl-PL"/>
        </w:rPr>
        <w:t>Wykonanie rozbudowy drogi powiatowej nr 4104W ul. Strażackiej o dł. ok. 320mb wraz ze skrzyżowaniem z ul. Błońską na terenie gminy Błonie</w:t>
      </w:r>
      <w:r>
        <w:rPr>
          <w:rFonts w:ascii="Times New Roman" w:eastAsia="Times New Roman" w:hAnsi="Times New Roman" w:cs="Times New Roman"/>
          <w:b/>
          <w:sz w:val="24"/>
          <w:lang w:eastAsia="pl-PL"/>
        </w:rPr>
        <w:t>”</w:t>
      </w:r>
    </w:p>
    <w:p w:rsidR="00355747" w:rsidRDefault="00355747" w:rsidP="00355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355747" w:rsidRDefault="00355747" w:rsidP="00355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355747" w:rsidRPr="00AD18EB" w:rsidRDefault="00355747" w:rsidP="00355747">
      <w:pPr>
        <w:spacing w:before="100" w:beforeAutospacing="1" w:after="100" w:afterAutospacing="1"/>
        <w:jc w:val="both"/>
        <w:outlineLvl w:val="1"/>
        <w:rPr>
          <w:rFonts w:ascii="Cambria" w:hAnsi="Cambria" w:cs="Times New Roman"/>
        </w:rPr>
      </w:pPr>
      <w:r w:rsidRPr="00AD18EB">
        <w:rPr>
          <w:rFonts w:ascii="Cambria" w:hAnsi="Cambria" w:cs="Times New Roman"/>
        </w:rPr>
        <w:t>Zamawiający informuje, że</w:t>
      </w:r>
      <w:r>
        <w:rPr>
          <w:rFonts w:ascii="Cambria" w:hAnsi="Cambria" w:cs="Times New Roman"/>
        </w:rPr>
        <w:t xml:space="preserve"> w dniu 22</w:t>
      </w:r>
      <w:r w:rsidRPr="00AD18EB">
        <w:rPr>
          <w:rFonts w:ascii="Cambria" w:hAnsi="Cambria" w:cs="Times New Roman"/>
        </w:rPr>
        <w:t>.03.20</w:t>
      </w:r>
      <w:r>
        <w:rPr>
          <w:rFonts w:ascii="Cambria" w:hAnsi="Cambria" w:cs="Times New Roman"/>
        </w:rPr>
        <w:t>21 oraz 02.03.2021 od wykonawcy wpłynął wniosek</w:t>
      </w:r>
      <w:r w:rsidRPr="00AD18EB">
        <w:rPr>
          <w:rFonts w:ascii="Cambria" w:hAnsi="Cambria" w:cs="Times New Roman"/>
        </w:rPr>
        <w:t xml:space="preserve"> o wyjaśnienie treści SWZ. Działając na podstawie art. 284 ust. 2 ustawy Prawo zamówień publicznych (Dz. U. z 2019 r. poz. 2019 ze zm.) udziela odpowiedzi:</w:t>
      </w:r>
    </w:p>
    <w:p w:rsidR="00355747" w:rsidRPr="00355747" w:rsidRDefault="00355747" w:rsidP="00355747">
      <w:pPr>
        <w:shd w:val="clear" w:color="auto" w:fill="FFFFFF"/>
        <w:spacing w:after="16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Czy Zamawiający zatwierdzi do zastosowania w inwestycji jako rozwiązania równoważne do opisanych w SIWZ  i  STWIOR wpustów ulicznych betonowych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dn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500 z osadnikiem o głębokości 0,8 m</w:t>
      </w:r>
      <w:r w:rsidRPr="00355747">
        <w:rPr>
          <w:rFonts w:ascii="Cambria" w:eastAsia="Times New Roman" w:hAnsi="Cambria" w:cs="Arial"/>
          <w:color w:val="333333"/>
          <w:vertAlign w:val="superscript"/>
          <w:lang w:eastAsia="pl-PL"/>
        </w:rPr>
        <w:t> </w:t>
      </w:r>
      <w:r w:rsidRPr="00355747">
        <w:rPr>
          <w:rFonts w:ascii="Cambria" w:eastAsia="Times New Roman" w:hAnsi="Cambria" w:cs="Arial"/>
          <w:color w:val="333333"/>
          <w:lang w:eastAsia="pl-PL"/>
        </w:rPr>
        <w:t>oraz z wpustem żeliwnym / kratą  żeliwną klasy D400 nowe  drogowe studzienki wpustowe o następującej charakterystyce: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-     posiadają Krajową Ocenę Techniczną (KOT) wydaną przez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IBDiM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dopuszczającą do stosowania w inżynierii komunikacyjnej do punktowego ujmowania i odprowadzania wody powierzchniowej (opadowej i roztopowej) z dróg, parkingów, obiektów inżynierskich oraz innych obiektów i obszarów związanych z inżynierią komunikacyjną, która zawiera wytyczne zastąpienia typowych wpustów betonowych;   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-     posiadają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nstp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. wymiary geometryczne: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a) średnica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Dw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425,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Dz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477,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Dśr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450,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firstLine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b) średnica odpływu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dn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200,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c) przy głębokości osadnika – 0,95 m zapewniają pojemność osadnikową równą przewidzianej w projekcie i opisanej w SIWZ;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-     w zabudowanym zestawie posiadają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nstp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. elementy składowe: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a) rurę trzonową karbowaną SN2 lub SN4  z PP  o wymiarach  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Dw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425,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Dz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477,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Dśr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450, zgodną z normą PN-EN 13598-2;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b) moduł odpływowy odpływu z króćcem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dn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200, łączony szczelnie z rurą trzonową za pomocą uszczelki profilowej zgodnej z normą PN-EN 681-1;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c) dno z PP łączone szczelnie z rurą trzonową za pomocą uszczelki profilowej zgodnej z normą PN-EN 681-1;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-     zwieńczenie drogowej studzienki wpustowej składa się z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nastp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. elementów: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a) wpustu żeliwnego klasy D400  zgodnego z normą PN-EN 124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b)  żelbetowego adaptera pod wpust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709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c) betonowego pierścienia odciążającego 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lastRenderedPageBreak/>
        <w:t>-     poddawana jest wyczerpującym badaniom do oceny stałości właściwości użytkowych (w tym m.in. trwałości, wytrzymałości, obciążalności i szczelności), co wynika z KOT oraz Krajowej Deklaracji Właściwości Użytkowych;  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426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-     wyposażona będzie w uliczne kraty żeliwne / wpusty żeliwne klasy D400 o wymiarach 420x620 mm / o powierzchni wlotowej 9-10 dm</w:t>
      </w:r>
      <w:r w:rsidRPr="00355747">
        <w:rPr>
          <w:rFonts w:ascii="Cambria" w:eastAsia="Times New Roman" w:hAnsi="Cambria" w:cs="Arial"/>
          <w:color w:val="333333"/>
          <w:vertAlign w:val="superscript"/>
          <w:lang w:eastAsia="pl-PL"/>
        </w:rPr>
        <w:t>2</w:t>
      </w:r>
      <w:r w:rsidRPr="00355747">
        <w:rPr>
          <w:rFonts w:ascii="Cambria" w:eastAsia="Times New Roman" w:hAnsi="Cambria" w:cs="Arial"/>
          <w:color w:val="333333"/>
          <w:lang w:eastAsia="pl-PL"/>
        </w:rPr>
        <w:t xml:space="preserve">, jak tego wymagają zapisy SIWZ /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STWiOR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.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b/>
          <w:bCs/>
          <w:color w:val="333333"/>
          <w:lang w:eastAsia="pl-PL"/>
        </w:rPr>
        <w:t xml:space="preserve">W  załączeniu rysunek proponowanej drogowej studzienki wpustowej wraz ze zwieńczeniem w rozwiązaniu  równoważnym  do przewidzianego w SIWZ dla ulicznych wpustów betonowych </w:t>
      </w:r>
      <w:proofErr w:type="spellStart"/>
      <w:r w:rsidRPr="00355747">
        <w:rPr>
          <w:rFonts w:ascii="Cambria" w:eastAsia="Times New Roman" w:hAnsi="Cambria" w:cs="Arial"/>
          <w:b/>
          <w:bCs/>
          <w:color w:val="333333"/>
          <w:lang w:eastAsia="pl-PL"/>
        </w:rPr>
        <w:t>dn</w:t>
      </w:r>
      <w:proofErr w:type="spellEnd"/>
      <w:r w:rsidRPr="00355747">
        <w:rPr>
          <w:rFonts w:ascii="Cambria" w:eastAsia="Times New Roman" w:hAnsi="Cambria" w:cs="Arial"/>
          <w:b/>
          <w:bCs/>
          <w:color w:val="333333"/>
          <w:lang w:eastAsia="pl-PL"/>
        </w:rPr>
        <w:t xml:space="preserve"> 500.  </w:t>
      </w:r>
    </w:p>
    <w:p w:rsidR="00355747" w:rsidRPr="00355747" w:rsidRDefault="00355747" w:rsidP="00355747">
      <w:pPr>
        <w:shd w:val="clear" w:color="auto" w:fill="FFFFFF"/>
        <w:spacing w:after="16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Podkreślamy, że rozwiązanie zaproponowane do zatwierdzenia jako równoważne posiada dokładnie taką samą funkcjonalność, identyczny obszar zastosowania i odpowiada potrzebom inwestycji. Nie stanowi obniżenia standardu wykonania. Wypełnia warunki techniczne stawiane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odwodnieniom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 xml:space="preserve"> dróg publicznych określonym w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Rozp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. Ministra Transportu i Gospodarki Morskiej z dnia 2 marca 1999 r. w sprawie warunków technicznych jakim powinny odpowiadać drogi publiczne i ich usytuowanie (Dz. U. Nr 43, poz. 430 ze zm.).</w:t>
      </w:r>
    </w:p>
    <w:p w:rsidR="00355747" w:rsidRPr="00355747" w:rsidRDefault="00355747" w:rsidP="00355747">
      <w:pPr>
        <w:shd w:val="clear" w:color="auto" w:fill="FFFFFF"/>
        <w:spacing w:after="160" w:line="235" w:lineRule="atLeast"/>
        <w:ind w:left="720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W stosunku do rozwiązań, które proponujemy zastąpić cechuje je dodatkowo: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567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-       odporność chemiczna (w tym na sole odmrażające),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567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-        brak nasiąkliwości i odporność na przemarzanie,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567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-       szczelność na całej wysokości,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ind w:left="567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-       lekka konstrukcja, która nie stanowi obciążenia dla podłoża i nie osiada pod wpływem obciążeń statycznych i dynamicznych,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W przypadku odmowy zatwierdzenia proponowanego rozwiązania jako równoważnego w oparciu o PZP prosimy o merytoryczne i szczegółowe uzasadnienie.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 </w:t>
      </w:r>
    </w:p>
    <w:p w:rsidR="00355747" w:rsidRPr="00355747" w:rsidRDefault="00355747" w:rsidP="00355747">
      <w:pPr>
        <w:shd w:val="clear" w:color="auto" w:fill="FFFFFF"/>
        <w:spacing w:after="0" w:line="235" w:lineRule="atLeast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 </w:t>
      </w:r>
    </w:p>
    <w:p w:rsidR="00355747" w:rsidRPr="00355747" w:rsidRDefault="00355747" w:rsidP="003557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 xml:space="preserve">2. Zgodnie z zapisami </w:t>
      </w:r>
      <w:proofErr w:type="spellStart"/>
      <w:r w:rsidRPr="00355747">
        <w:rPr>
          <w:rFonts w:ascii="Cambria" w:eastAsia="Times New Roman" w:hAnsi="Cambria" w:cs="Arial"/>
          <w:color w:val="000000"/>
          <w:lang w:eastAsia="pl-PL"/>
        </w:rPr>
        <w:t>STWiORB</w:t>
      </w:r>
      <w:proofErr w:type="spellEnd"/>
      <w:r w:rsidRPr="00355747">
        <w:rPr>
          <w:rFonts w:ascii="Cambria" w:eastAsia="Times New Roman" w:hAnsi="Cambria" w:cs="Arial"/>
          <w:color w:val="000000"/>
          <w:lang w:eastAsia="pl-PL"/>
        </w:rPr>
        <w:t xml:space="preserve"> do budowy kanalizacji deszczowej należy zastosować rury z litego PP min. SN8 w średnicach dn110 -  400.</w:t>
      </w:r>
    </w:p>
    <w:p w:rsidR="00355747" w:rsidRPr="00355747" w:rsidRDefault="00355747" w:rsidP="003557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Czy Zamawiający zaakceptuje  do wykonania sieci kanalizacji  deszczowej rury kanalizacyjne gładkościenne z litego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pvc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-u SN8 w całym zakresie średnic tj. dn110-dn400?</w:t>
      </w:r>
    </w:p>
    <w:p w:rsidR="00355747" w:rsidRPr="00355747" w:rsidRDefault="00355747" w:rsidP="003557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 xml:space="preserve">Rury </w:t>
      </w:r>
      <w:proofErr w:type="spellStart"/>
      <w:r w:rsidRPr="00355747">
        <w:rPr>
          <w:rFonts w:ascii="Cambria" w:eastAsia="Times New Roman" w:hAnsi="Cambria" w:cs="Arial"/>
          <w:color w:val="333333"/>
          <w:lang w:eastAsia="pl-PL"/>
        </w:rPr>
        <w:t>pvc</w:t>
      </w:r>
      <w:proofErr w:type="spellEnd"/>
      <w:r w:rsidRPr="00355747">
        <w:rPr>
          <w:rFonts w:ascii="Cambria" w:eastAsia="Times New Roman" w:hAnsi="Cambria" w:cs="Arial"/>
          <w:color w:val="333333"/>
          <w:lang w:eastAsia="pl-PL"/>
        </w:rPr>
        <w:t>-u są powszechnie stosowane od kilkudziesięciu lat zarówno przy budowie kanalizacji deszczowej jak i sanitarnej.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333333"/>
          <w:lang w:eastAsia="pl-PL"/>
        </w:rPr>
        <w:t> </w:t>
      </w:r>
    </w:p>
    <w:p w:rsidR="00355747" w:rsidRPr="00355747" w:rsidRDefault="00355747" w:rsidP="00355747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b/>
          <w:bCs/>
          <w:color w:val="333333"/>
          <w:lang w:eastAsia="pl-PL"/>
        </w:rPr>
        <w:t>Charakterystyka proponowanego sys</w:t>
      </w:r>
      <w:r w:rsidR="00D67881">
        <w:rPr>
          <w:rFonts w:ascii="Cambria" w:eastAsia="Times New Roman" w:hAnsi="Cambria" w:cs="Arial"/>
          <w:b/>
          <w:bCs/>
          <w:color w:val="333333"/>
          <w:lang w:eastAsia="pl-PL"/>
        </w:rPr>
        <w:t xml:space="preserve">temu rur i kształtek firmy (nazwa </w:t>
      </w:r>
      <w:proofErr w:type="spellStart"/>
      <w:r w:rsidR="00D67881">
        <w:rPr>
          <w:rFonts w:ascii="Cambria" w:eastAsia="Times New Roman" w:hAnsi="Cambria" w:cs="Arial"/>
          <w:b/>
          <w:bCs/>
          <w:color w:val="333333"/>
          <w:lang w:eastAsia="pl-PL"/>
        </w:rPr>
        <w:t>prducenta</w:t>
      </w:r>
      <w:proofErr w:type="spellEnd"/>
      <w:r w:rsidR="00D67881">
        <w:rPr>
          <w:rFonts w:ascii="Cambria" w:eastAsia="Times New Roman" w:hAnsi="Cambria" w:cs="Arial"/>
          <w:b/>
          <w:bCs/>
          <w:color w:val="333333"/>
          <w:lang w:eastAsia="pl-PL"/>
        </w:rPr>
        <w:t>)</w:t>
      </w:r>
      <w:r w:rsidRPr="00355747">
        <w:rPr>
          <w:rFonts w:ascii="Cambria" w:eastAsia="Times New Roman" w:hAnsi="Cambria" w:cs="Arial"/>
          <w:b/>
          <w:bCs/>
          <w:color w:val="333333"/>
          <w:lang w:eastAsia="pl-PL"/>
        </w:rPr>
        <w:t>: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1)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rury kanalizacji grawitacyjnej z PVC-u ze ścianką litą jednorodną spełniające wymagania PN-EN 1401-1:2009, w tym: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06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a)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odporne na dichlorometan, przez co potwierdzają odpowiedni stopień zżelowania (przetworzenia) PVC-u,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06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b)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materiał rury ma potwierdzoną w teście 1000-godzinnym odporność na ciśnienie wewnętrzne (pozytywny wynik testu badania odporności na ciśnienie wewnętrzne – testu 1000-godzinnego - potwierdza trwałość na poziomie 100 lat),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06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c)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odporne na cykliczne działania podwyższonej temperatury (równoważne z tym, że rury mają oznaczenie UD),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06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d)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 xml:space="preserve">temperatura mięknienia rur i kształtek wg </w:t>
      </w:r>
      <w:proofErr w:type="spellStart"/>
      <w:r w:rsidRPr="00355747">
        <w:rPr>
          <w:rFonts w:ascii="Cambria" w:eastAsia="Times New Roman" w:hAnsi="Cambria" w:cs="Arial"/>
          <w:color w:val="000000"/>
          <w:lang w:eastAsia="pl-PL"/>
        </w:rPr>
        <w:t>Vicata</w:t>
      </w:r>
      <w:proofErr w:type="spellEnd"/>
      <w:r w:rsidRPr="00355747">
        <w:rPr>
          <w:rFonts w:ascii="Cambria" w:eastAsia="Times New Roman" w:hAnsi="Cambria" w:cs="Arial"/>
          <w:color w:val="000000"/>
          <w:lang w:eastAsia="pl-PL"/>
        </w:rPr>
        <w:t xml:space="preserve"> (VST=79</w:t>
      </w:r>
      <w:r w:rsidRPr="00355747">
        <w:rPr>
          <w:rFonts w:ascii="Cambria" w:eastAsia="Times New Roman" w:hAnsi="Cambria" w:cs="Arial"/>
          <w:color w:val="000000"/>
          <w:vertAlign w:val="superscript"/>
          <w:lang w:eastAsia="pl-PL"/>
        </w:rPr>
        <w:t>o</w:t>
      </w:r>
      <w:r w:rsidRPr="00355747">
        <w:rPr>
          <w:rFonts w:ascii="Cambria" w:eastAsia="Times New Roman" w:hAnsi="Cambria" w:cs="Arial"/>
          <w:color w:val="000000"/>
          <w:lang w:eastAsia="pl-PL"/>
        </w:rPr>
        <w:t>C, co jest warunkiem oznaczania rur i kształtek UD):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78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Calibri"/>
          <w:color w:val="000000"/>
          <w:lang w:eastAsia="pl-PL"/>
        </w:rPr>
        <w:t>·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kształtki kanalizacji grawitacyjnej z PVC-u i spełniające wymagania PN-EN 1401-1:2009,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78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Calibri"/>
          <w:color w:val="000000"/>
          <w:lang w:eastAsia="pl-PL"/>
        </w:rPr>
        <w:t>·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kształtki SN8 na kanałach o sztywności SN8,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78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Calibri"/>
          <w:color w:val="000000"/>
          <w:lang w:eastAsia="pl-PL"/>
        </w:rPr>
        <w:t>·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 xml:space="preserve">system (rury i kształtki) jest jednorodny materiałowo tj. wykonany z </w:t>
      </w:r>
      <w:proofErr w:type="spellStart"/>
      <w:r w:rsidRPr="00355747">
        <w:rPr>
          <w:rFonts w:ascii="Cambria" w:eastAsia="Times New Roman" w:hAnsi="Cambria" w:cs="Arial"/>
          <w:color w:val="000000"/>
          <w:lang w:eastAsia="pl-PL"/>
        </w:rPr>
        <w:t>pvc</w:t>
      </w:r>
      <w:proofErr w:type="spellEnd"/>
      <w:r w:rsidRPr="00355747">
        <w:rPr>
          <w:rFonts w:ascii="Cambria" w:eastAsia="Times New Roman" w:hAnsi="Cambria" w:cs="Arial"/>
          <w:color w:val="000000"/>
          <w:lang w:eastAsia="pl-PL"/>
        </w:rPr>
        <w:t>-u,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788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Calibri"/>
          <w:color w:val="000000"/>
          <w:lang w:eastAsia="pl-PL"/>
        </w:rPr>
        <w:t>·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rury w średnicach dn</w:t>
      </w:r>
      <w:r w:rsidRPr="00355747">
        <w:rPr>
          <w:rFonts w:ascii="Cambria" w:eastAsia="Times New Roman" w:hAnsi="Cambria" w:cs="Calibri"/>
          <w:color w:val="000000"/>
          <w:lang w:eastAsia="pl-PL"/>
        </w:rPr>
        <w:t>³</w:t>
      </w:r>
      <w:r w:rsidRPr="00355747">
        <w:rPr>
          <w:rFonts w:ascii="Cambria" w:eastAsia="Times New Roman" w:hAnsi="Cambria" w:cs="Arial"/>
          <w:color w:val="000000"/>
          <w:lang w:eastAsia="pl-PL"/>
        </w:rPr>
        <w:t> 200 z nadrukiem wewnątrz umożliwiającym identyfikację rur podczas inspekcji telewizyjnej. Parametry podlegające identyfikacji to co najmniej technologia wykonania rury (rury lite jednorodne / rury lite trójwarstwowe z rdzeniem z przemiałów / rury z rdzeniem spienionym), średnica oraz sztywność obwodowa,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2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lastRenderedPageBreak/>
        <w:t>2)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rury i kształtki przeznaczone dla obszaru zastosowania UD (oznaczone symbolem obszaru zastosowania UD) (tj. zgodnie z PN-EN 1401-1 przeznaczone do zamontowania pod konstrukcjami budowli i 1 m od tych konstrukcji) i wykazujące odporność i szczelność w warunkach znacznych zmian temperatury odprowadzanego medium,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3)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odporność chemiczna uszczelek zgodna z ISO/TR 7620,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4)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uszczelki zgodne z normą zharmonizowaną PN-EN 681-1 posiadające znakowanie CE, oznaczone symbolami WC , co oznacza możliwość zastosowania w systemach kanalizacyjnych,</w:t>
      </w:r>
    </w:p>
    <w:p w:rsidR="00355747" w:rsidRPr="00355747" w:rsidRDefault="00355747" w:rsidP="00355747">
      <w:pPr>
        <w:shd w:val="clear" w:color="auto" w:fill="FFFFFF"/>
        <w:spacing w:after="160" w:line="235" w:lineRule="atLeast"/>
        <w:ind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8080"/>
          <w:u w:val="single"/>
          <w:shd w:val="clear" w:color="auto" w:fill="FFFF00"/>
          <w:lang w:eastAsia="pl-PL"/>
        </w:rPr>
        <w:t> 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5)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producent posiada certyfikaty ISO 9001 i ISO 14001,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6)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dla rur o sztywności obwodowej SN 8  – możliwość stosowania systemu w miejscach o dużych obciążeniach statycznych (np. od wysokich nasypów, konstrukcji dróg) i dynamicznych (np. od intensywnego ruchu drogowego, autostrady, drogi szybkiego ruchu),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7)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system (zarówno rury jak i kształtki) posiadający opinię GIG – dopuszczenie do stosowania na terenach szkód górniczych: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44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a)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dla rur klasy S do IV kategorii szkód górniczych włącznie,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144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b)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dla rur klasy N do III kategorii szkód górniczych włącznie,</w:t>
      </w:r>
    </w:p>
    <w:p w:rsidR="00355747" w:rsidRPr="00355747" w:rsidRDefault="00355747" w:rsidP="00355747">
      <w:pPr>
        <w:shd w:val="clear" w:color="auto" w:fill="FFFFFF"/>
        <w:spacing w:after="0" w:line="240" w:lineRule="auto"/>
        <w:ind w:left="720" w:right="563"/>
        <w:jc w:val="both"/>
        <w:rPr>
          <w:rFonts w:ascii="Cambria" w:eastAsia="Times New Roman" w:hAnsi="Cambria" w:cs="Calibri"/>
          <w:color w:val="333333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8)</w:t>
      </w:r>
      <w:r w:rsidRPr="00355747">
        <w:rPr>
          <w:rFonts w:ascii="Cambria" w:eastAsia="Times New Roman" w:hAnsi="Cambria" w:cs="Times New Roman"/>
          <w:color w:val="000000"/>
          <w:lang w:eastAsia="pl-PL"/>
        </w:rPr>
        <w:t>    </w:t>
      </w:r>
      <w:r w:rsidRPr="00355747">
        <w:rPr>
          <w:rFonts w:ascii="Cambria" w:eastAsia="Times New Roman" w:hAnsi="Cambria" w:cs="Arial"/>
          <w:color w:val="000000"/>
          <w:lang w:eastAsia="pl-PL"/>
        </w:rPr>
        <w:t>producent posiadający doświadczenie z badań trwałości rur z PVC-u w kanalizacji w skali rzeczywistej udokumentowane raportami z przeprowadzonych badań,</w:t>
      </w:r>
    </w:p>
    <w:p w:rsidR="00355747" w:rsidRPr="00887A3D" w:rsidRDefault="00355747" w:rsidP="00355747">
      <w:pPr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Cambria" w:eastAsia="Times New Roman" w:hAnsi="Cambria" w:cs="Courier New"/>
          <w:color w:val="000000"/>
          <w:lang w:eastAsia="pl-PL"/>
        </w:rPr>
      </w:pPr>
      <w:r w:rsidRPr="00355747">
        <w:rPr>
          <w:rFonts w:ascii="Cambria" w:eastAsia="Times New Roman" w:hAnsi="Cambria" w:cs="Arial"/>
          <w:color w:val="000000"/>
          <w:lang w:eastAsia="pl-PL"/>
        </w:rPr>
        <w:t>system kanalizacyjny (rury, kształtki, studzienki) od jednego producenta</w:t>
      </w:r>
    </w:p>
    <w:p w:rsidR="00887A3D" w:rsidRDefault="00887A3D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887A3D" w:rsidRDefault="00887A3D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887A3D" w:rsidRDefault="00887A3D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lang w:eastAsia="pl-PL"/>
        </w:rPr>
      </w:pPr>
    </w:p>
    <w:p w:rsidR="00887A3D" w:rsidRPr="00887A3D" w:rsidRDefault="00887A3D" w:rsidP="00887A3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87A3D">
        <w:rPr>
          <w:rFonts w:ascii="Cambria" w:eastAsia="Times New Roman" w:hAnsi="Cambria" w:cs="Times New Roman"/>
          <w:b/>
          <w:lang w:eastAsia="pl-PL"/>
        </w:rPr>
        <w:t>AD.1</w:t>
      </w:r>
    </w:p>
    <w:p w:rsidR="00887A3D" w:rsidRPr="00887A3D" w:rsidRDefault="00887A3D" w:rsidP="00887A3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87A3D">
        <w:rPr>
          <w:rFonts w:ascii="Cambria" w:eastAsia="Times New Roman" w:hAnsi="Cambria" w:cs="Times New Roman"/>
          <w:lang w:eastAsia="pl-PL"/>
        </w:rPr>
        <w:t xml:space="preserve">Zamawiający wyjaśnia, że zastosowanie w dokumentacji projektowej betonowych wpustów deszczowych wynika z stosowanej od lat praktyki i preferowanego jednolitego standardu na administrowanej sieci dróg powiatowych. W związku z powyższym Zamawiający informuje, że </w:t>
      </w:r>
      <w:r w:rsidRPr="00887A3D">
        <w:rPr>
          <w:rFonts w:ascii="Cambria" w:eastAsia="Times New Roman" w:hAnsi="Cambria" w:cs="Times New Roman"/>
          <w:lang w:eastAsia="pl-PL"/>
        </w:rPr>
        <w:br/>
        <w:t>w sporządzanych ofertach należy przyjąć wpusty zgodne z dokumentacją.</w:t>
      </w:r>
    </w:p>
    <w:p w:rsidR="00887A3D" w:rsidRPr="00887A3D" w:rsidRDefault="00887A3D" w:rsidP="00887A3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:rsidR="00887A3D" w:rsidRPr="00887A3D" w:rsidRDefault="00887A3D" w:rsidP="00887A3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  <w:r w:rsidRPr="00887A3D">
        <w:rPr>
          <w:rFonts w:ascii="Cambria" w:eastAsia="Times New Roman" w:hAnsi="Cambria" w:cs="Times New Roman"/>
          <w:b/>
          <w:lang w:eastAsia="pl-PL"/>
        </w:rPr>
        <w:t>AD.2</w:t>
      </w:r>
    </w:p>
    <w:p w:rsidR="00887A3D" w:rsidRPr="00887A3D" w:rsidRDefault="00887A3D" w:rsidP="00887A3D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87A3D">
        <w:rPr>
          <w:rFonts w:ascii="Cambria" w:eastAsia="Times New Roman" w:hAnsi="Cambria" w:cs="Times New Roman"/>
          <w:lang w:eastAsia="pl-PL"/>
        </w:rPr>
        <w:t>Zmawiający dopuszcza wykonanie kanalizacji deszczowej z rur PP oraz PVC-u o sztywności obwodowej min. SN8.</w:t>
      </w:r>
    </w:p>
    <w:p w:rsidR="00887A3D" w:rsidRDefault="00887A3D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ourier New"/>
          <w:color w:val="000000"/>
          <w:lang w:eastAsia="pl-PL"/>
        </w:rPr>
      </w:pPr>
    </w:p>
    <w:p w:rsidR="003B2FEE" w:rsidRDefault="003B2FEE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ourier New"/>
          <w:color w:val="000000"/>
          <w:lang w:eastAsia="pl-PL"/>
        </w:rPr>
      </w:pPr>
    </w:p>
    <w:p w:rsidR="003B2FEE" w:rsidRPr="00355747" w:rsidRDefault="003B2FEE" w:rsidP="00887A3D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ourier New"/>
          <w:color w:val="000000"/>
          <w:lang w:eastAsia="pl-PL"/>
        </w:rPr>
      </w:pPr>
      <w:r>
        <w:rPr>
          <w:rFonts w:ascii="Cambria" w:eastAsia="Times New Roman" w:hAnsi="Cambria" w:cs="Courier New"/>
          <w:color w:val="000000"/>
          <w:lang w:eastAsia="pl-PL"/>
        </w:rPr>
        <w:t>W załączeniu rysunek stanowiący załącznik do pytań.</w:t>
      </w:r>
      <w:bookmarkStart w:id="0" w:name="_GoBack"/>
      <w:bookmarkEnd w:id="0"/>
    </w:p>
    <w:p w:rsidR="00355747" w:rsidRPr="00355747" w:rsidRDefault="00355747" w:rsidP="00355747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sectPr w:rsidR="00355747" w:rsidRPr="0035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269B"/>
    <w:multiLevelType w:val="multilevel"/>
    <w:tmpl w:val="6FAEF854"/>
    <w:styleLink w:val="WWNum64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2"/>
      <w:numFmt w:val="decimal"/>
      <w:lvlText w:val="%2."/>
      <w:lvlJc w:val="left"/>
      <w:pPr>
        <w:ind w:left="357" w:hanging="357"/>
      </w:pPr>
      <w:rPr>
        <w:b w:val="0"/>
        <w:color w:val="0D0D0D"/>
      </w:r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24F339F5"/>
    <w:multiLevelType w:val="hybridMultilevel"/>
    <w:tmpl w:val="555E5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65F09CF"/>
    <w:multiLevelType w:val="multilevel"/>
    <w:tmpl w:val="E4288B32"/>
    <w:styleLink w:val="WWNum65"/>
    <w:lvl w:ilvl="0">
      <w:start w:val="5"/>
      <w:numFmt w:val="decimal"/>
      <w:lvlText w:val="%1."/>
      <w:lvlJc w:val="left"/>
      <w:pPr>
        <w:ind w:left="357" w:hanging="35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3" w15:restartNumberingAfterBreak="0">
    <w:nsid w:val="517A74B8"/>
    <w:multiLevelType w:val="multilevel"/>
    <w:tmpl w:val="FB5E01FC"/>
    <w:styleLink w:val="WW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47"/>
    <w:rsid w:val="00110109"/>
    <w:rsid w:val="00355747"/>
    <w:rsid w:val="003B2FEE"/>
    <w:rsid w:val="00887A3D"/>
    <w:rsid w:val="00D6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BC4A"/>
  <w15:chartTrackingRefBased/>
  <w15:docId w15:val="{41AD3591-9E2D-4A33-87CB-6884A1A4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57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641176f1msonormal">
    <w:name w:val="gwp641176f1_msonormal"/>
    <w:basedOn w:val="Normalny"/>
    <w:rsid w:val="0035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65">
    <w:name w:val="WWNum65"/>
    <w:basedOn w:val="Bezlisty"/>
    <w:rsid w:val="00355747"/>
    <w:pPr>
      <w:numPr>
        <w:numId w:val="1"/>
      </w:numPr>
    </w:pPr>
  </w:style>
  <w:style w:type="numbering" w:customStyle="1" w:styleId="WWNum64">
    <w:name w:val="WWNum64"/>
    <w:basedOn w:val="Bezlisty"/>
    <w:rsid w:val="00355747"/>
    <w:pPr>
      <w:numPr>
        <w:numId w:val="2"/>
      </w:numPr>
    </w:pPr>
  </w:style>
  <w:style w:type="numbering" w:customStyle="1" w:styleId="WWNum72">
    <w:name w:val="WWNum72"/>
    <w:basedOn w:val="Bezlisty"/>
    <w:rsid w:val="0035574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1102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5</cp:revision>
  <dcterms:created xsi:type="dcterms:W3CDTF">2021-03-23T09:35:00Z</dcterms:created>
  <dcterms:modified xsi:type="dcterms:W3CDTF">2021-03-23T15:40:00Z</dcterms:modified>
</cp:coreProperties>
</file>