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2E0D6F" w:rsidRPr="00267735" w:rsidTr="00F60CE5">
        <w:trPr>
          <w:trHeight w:val="359"/>
        </w:trPr>
        <w:tc>
          <w:tcPr>
            <w:tcW w:w="4248" w:type="dxa"/>
            <w:gridSpan w:val="2"/>
            <w:hideMark/>
          </w:tcPr>
          <w:p w:rsidR="002E0D6F" w:rsidRPr="00267735" w:rsidRDefault="002E0D6F" w:rsidP="00F60C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e-mail: sekretariat@zdp.pwz.pl</w:t>
            </w:r>
          </w:p>
        </w:tc>
        <w:tc>
          <w:tcPr>
            <w:tcW w:w="2700" w:type="dxa"/>
            <w:gridSpan w:val="2"/>
            <w:hideMark/>
          </w:tcPr>
          <w:p w:rsidR="002E0D6F" w:rsidRPr="00267735" w:rsidRDefault="002E0D6F" w:rsidP="00F60C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2E0D6F" w:rsidRPr="00267735" w:rsidRDefault="002E0D6F" w:rsidP="00F60CE5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9DF4732" wp14:editId="45BB1D15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0D6F" w:rsidRPr="00267735" w:rsidTr="00F60CE5">
        <w:trPr>
          <w:trHeight w:val="904"/>
        </w:trPr>
        <w:tc>
          <w:tcPr>
            <w:tcW w:w="6948" w:type="dxa"/>
            <w:gridSpan w:val="4"/>
          </w:tcPr>
          <w:p w:rsidR="002E0D6F" w:rsidRPr="00267735" w:rsidRDefault="002E0D6F" w:rsidP="00F60C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2E0D6F" w:rsidRPr="00267735" w:rsidRDefault="002E0D6F" w:rsidP="00F60CE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>05-850 Ożarów Mazowiecki, ul. Poznańska 300</w:t>
            </w:r>
          </w:p>
          <w:p w:rsidR="002E0D6F" w:rsidRPr="00267735" w:rsidRDefault="002E0D6F" w:rsidP="00F60C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2E0D6F" w:rsidRPr="00267735" w:rsidRDefault="002E0D6F" w:rsidP="00F60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</w:p>
        </w:tc>
      </w:tr>
      <w:tr w:rsidR="002E0D6F" w:rsidRPr="00267735" w:rsidTr="00F60CE5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E0D6F" w:rsidRPr="00267735" w:rsidRDefault="002E0D6F" w:rsidP="00F60C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Tel./Fax    (+22) 722-13-80           </w:t>
            </w:r>
          </w:p>
          <w:p w:rsidR="002E0D6F" w:rsidRPr="00267735" w:rsidRDefault="002E0D6F" w:rsidP="00F60C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E0D6F" w:rsidRPr="00267735" w:rsidRDefault="002E0D6F" w:rsidP="00F60C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E0D6F" w:rsidRPr="00267735" w:rsidRDefault="002E0D6F" w:rsidP="00F60C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E0D6F" w:rsidRPr="00267735" w:rsidRDefault="002E0D6F" w:rsidP="00F60C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Konto nr 76 1560 0013 2619 7045 3000 0002  </w:t>
            </w:r>
          </w:p>
          <w:p w:rsidR="002E0D6F" w:rsidRPr="00267735" w:rsidRDefault="002E0D6F" w:rsidP="00F60C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Getin Bank</w:t>
            </w:r>
          </w:p>
        </w:tc>
      </w:tr>
    </w:tbl>
    <w:p w:rsidR="002E0D6F" w:rsidRPr="00267735" w:rsidRDefault="002E0D6F" w:rsidP="002E0D6F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076" w:type="dxa"/>
        <w:tblLayout w:type="fixed"/>
        <w:tblLook w:val="04A0" w:firstRow="1" w:lastRow="0" w:firstColumn="1" w:lastColumn="0" w:noHBand="0" w:noVBand="1"/>
      </w:tblPr>
      <w:tblGrid>
        <w:gridCol w:w="2621"/>
        <w:gridCol w:w="4329"/>
        <w:gridCol w:w="2126"/>
      </w:tblGrid>
      <w:tr w:rsidR="002E0D6F" w:rsidRPr="00267735" w:rsidTr="00F60CE5">
        <w:trPr>
          <w:trHeight w:val="610"/>
        </w:trPr>
        <w:tc>
          <w:tcPr>
            <w:tcW w:w="2621" w:type="dxa"/>
            <w:hideMark/>
          </w:tcPr>
          <w:p w:rsidR="002E0D6F" w:rsidRPr="00267735" w:rsidRDefault="002E0D6F" w:rsidP="00F60C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Wasz znak:</w:t>
            </w:r>
          </w:p>
        </w:tc>
        <w:tc>
          <w:tcPr>
            <w:tcW w:w="4329" w:type="dxa"/>
            <w:hideMark/>
          </w:tcPr>
          <w:p w:rsidR="002E0D6F" w:rsidRPr="00267735" w:rsidRDefault="002E0D6F" w:rsidP="00F60C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Nasz znak:                            Nr pisma:</w:t>
            </w:r>
          </w:p>
          <w:p w:rsidR="002E0D6F" w:rsidRPr="00267735" w:rsidRDefault="002E0D6F" w:rsidP="00F60C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ZP-25</w:t>
            </w: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/2018</w:t>
            </w:r>
          </w:p>
        </w:tc>
        <w:tc>
          <w:tcPr>
            <w:tcW w:w="2126" w:type="dxa"/>
            <w:hideMark/>
          </w:tcPr>
          <w:p w:rsidR="002E0D6F" w:rsidRPr="00267735" w:rsidRDefault="002E0D6F" w:rsidP="00F60C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Data:</w:t>
            </w:r>
          </w:p>
          <w:p w:rsidR="002E0D6F" w:rsidRPr="00267735" w:rsidRDefault="002E0D6F" w:rsidP="00F60C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16.10</w:t>
            </w: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.2018 r.</w:t>
            </w:r>
          </w:p>
        </w:tc>
      </w:tr>
    </w:tbl>
    <w:p w:rsidR="002E0D6F" w:rsidRDefault="002E0D6F" w:rsidP="002E0D6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wszystkich zainteresowanych</w:t>
      </w:r>
      <w:bookmarkStart w:id="0" w:name="_GoBack"/>
      <w:bookmarkEnd w:id="0"/>
    </w:p>
    <w:p w:rsidR="002E0D6F" w:rsidRPr="00267735" w:rsidRDefault="002E0D6F" w:rsidP="002E0D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0D6F" w:rsidRPr="00267735" w:rsidRDefault="002E0D6F" w:rsidP="002E0D6F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/>
          <w:b/>
          <w:i/>
          <w:color w:val="0D0D0D"/>
          <w:sz w:val="24"/>
          <w:szCs w:val="24"/>
          <w:lang w:eastAsia="pl-PL"/>
        </w:rPr>
      </w:pP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zetargu nieograniczonego nr ZP-25</w:t>
      </w: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/2018 pn.</w:t>
      </w:r>
      <w:r w:rsidRPr="0026773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26773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Pr="007C040B">
        <w:rPr>
          <w:rFonts w:ascii="Times New Roman" w:eastAsia="Times New Roman" w:hAnsi="Times New Roman"/>
          <w:b/>
          <w:i/>
          <w:sz w:val="24"/>
          <w:lang w:eastAsia="pl-PL"/>
        </w:rPr>
        <w:t>Wykonanie nakładki asfaltowej wraz z odwodnieniem oraz ciągu pieszo-rowerowego w ul. Izabelińskiej o dł. ok. 1100mb gm. Stare Babice</w:t>
      </w:r>
      <w:r>
        <w:rPr>
          <w:rFonts w:ascii="Times New Roman" w:eastAsia="Times New Roman" w:hAnsi="Times New Roman"/>
          <w:b/>
          <w:i/>
          <w:sz w:val="24"/>
          <w:lang w:eastAsia="pl-PL"/>
        </w:rPr>
        <w:t>”</w:t>
      </w:r>
    </w:p>
    <w:p w:rsidR="002E0D6F" w:rsidRPr="00267735" w:rsidRDefault="002E0D6F" w:rsidP="002E0D6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E0D6F" w:rsidRPr="00267735" w:rsidRDefault="002E0D6F" w:rsidP="002E0D6F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7735">
        <w:rPr>
          <w:rFonts w:ascii="Times New Roman" w:eastAsia="Calibri" w:hAnsi="Times New Roman" w:cs="Times New Roman"/>
          <w:sz w:val="24"/>
          <w:szCs w:val="24"/>
        </w:rPr>
        <w:t xml:space="preserve">Zamawiający informuje, że </w:t>
      </w:r>
      <w:r>
        <w:rPr>
          <w:rFonts w:ascii="Times New Roman" w:eastAsia="Calibri" w:hAnsi="Times New Roman" w:cs="Times New Roman"/>
          <w:sz w:val="24"/>
          <w:szCs w:val="24"/>
        </w:rPr>
        <w:t>10.10.2018 r., od Wykonawcy wpłynęły pytania</w:t>
      </w:r>
      <w:r w:rsidRPr="00267735">
        <w:rPr>
          <w:rFonts w:ascii="Times New Roman" w:eastAsia="Calibri" w:hAnsi="Times New Roman" w:cs="Times New Roman"/>
          <w:sz w:val="24"/>
          <w:szCs w:val="24"/>
        </w:rPr>
        <w:t xml:space="preserve"> następującej treści:</w:t>
      </w:r>
    </w:p>
    <w:p w:rsidR="002E0D6F" w:rsidRPr="002E63EF" w:rsidRDefault="002E0D6F" w:rsidP="002E0D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</w:pPr>
      <w:r w:rsidRPr="002E63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Dotyczy par. 15 ust. 2 pkt. 2 Projektu Umowy – kary umownej za opóźnienie w wykonaniu robót w wysokości 0,1 % wynagrodzenia brutto za każdy dzień opóźnienia przez pierwsze 30 dni i 1,0 % wynagrodzenia brutto za każdy dzień opóźnienia powyżej 30 dni od terminu określonego w par. 3 ust. 2 Projektu Umowy, oznacza, że już kilkunastodniowe opóźnienie w rozpoczęciu robót lub zakończeniu realizacji robót powyżej tego terminu spowoduje naliczenie kar umownych w wysokości kilkunastu procent wynagrodzenia Wykonawcy brutto, co w ocenie Wykonawcy jest sankcją zbyt dotkliwą i nie adekwatną do sytuacji. W doktrynie prawa zamówień publicznych oraz aktualnym orzecznictwie Krajowej Izby Odwoławczej przy Prezesie Urz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ędu Zamówień dominuje pogląd, że</w:t>
      </w:r>
      <w:r w:rsidRPr="002E63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ustanowienie przez Zamawiającego w umowie rażąco wysokich kar umownych uznać należy bezwzględnie za naruszenie zasad zachowania uczciwej konkurencji wyrażonej w przepisie art. 7 ustawy z dnia 29 stycznia 2004 r. prawo zamówień publicznych (tekst jednolity Dz. U. z 2006 roku, nr 164, poz. 1163 z późn. Zm.), które może być uzasadnioną podstawą do żądania unieważnienia postępowania o udzielenie zamówienia publicznego w trybie art. 93 ust. 1 pkt. 7 ustawy prawo zamówień publicznych z uwagi, iż postępowanie jest obarczone wadą uniemożliwiającą zawarcie ważnej umowy w sprawie zamówienia publicznego. Stanowisko powyższe znajduje potwierdzenie m in. Wyroku Krajowej Izby Odwoławczej z dnia 31 lipca 2015 r. sygn.. akt: KIO/1519/15. Zważyć bowiem należy, że kara umowna co do istoty ma charakter wyłącznie odszkodowawczy i kompensacyjny, a nie prewencyjny. Ustalenie przez Zamawiającego zbyt wygórowanych kar umownych dla wykonawców stanowi zatem naruszenie prawa w zakresie równości stron umowy, co w konsekwencji prowadzi do sprzeczności celu takiej umowy z zasadami współżycia społecznego i skutkować winno bezwzględną nieważnością czynności prawnej na podstawie przepisu art. 353</w:t>
      </w:r>
      <w:r w:rsidRPr="002E63E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 xml:space="preserve">1 </w:t>
      </w:r>
      <w:r w:rsidRPr="002E63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k.c w związku z ar. 58 par. 1 k.c. Należy mieć również na względzie stanowisko Sądu Najwyższego wyrażone w wyroku z 29 listopada 2013 roku Sygn. Akt I CSK 124/13 dotyczącego przesłanek miarkowania kar umownych jako rażąco wygórowanych. W uzasadnieniu wyroku Sąd Najwyższy wskazał, iż „kara umowna nie może być instrumentem służącym wzbogaceniu wierzyciela, a zatem przyznającym mu korzyść  majątkową w istotny sposób przekraczającą wysokość poniesionej przez wierzyciela szkody. Celem miarkowania kary umownej jest natomiast ochrona równowagi interesów stron </w:t>
      </w:r>
      <w:r w:rsidRPr="002E63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i zapobieżenie nadmiernemu obciążeniu dłużnika oraz niesłusznemu wzbogaceniu wierzyciela”. Ponadto w jednym  ze swoich ostatnich orzeczeń (wyrok z 14 stycznia 2016 r., sygn.. akt. IV CSK 223/15) Sąd Najwyższy podkreślił, że obowiązujący w Polsce system zamówień publicznych niejednokrotnie zmusza potencjalnego wykonawcę do oferowania minimalnego wynagrodzenia oraz akceptowania krótkiego terminu realizacji zamówienia (np. budowy obiektu). Wykonawca jest także często zmuszony zaakceptować wysokość kary umownej w wypadku niewykonania lub nienależytego wykonania zobowiązania. W praktyce prowadzi to często do naruszenia faktycznej równości stron zawieranej umowy, co w ocenie SN jest niedopuszczalne.</w:t>
      </w:r>
    </w:p>
    <w:p w:rsidR="002E0D6F" w:rsidRPr="002E63EF" w:rsidRDefault="002E0D6F" w:rsidP="002E0D6F">
      <w:pPr>
        <w:spacing w:line="240" w:lineRule="auto"/>
        <w:jc w:val="both"/>
        <w:rPr>
          <w:rFonts w:ascii="Times New Roman" w:eastAsia="Times New Roman" w:hAnsi="Times New Roman" w:cs="Times New Roman"/>
          <w:color w:val="2D2D2D"/>
          <w:sz w:val="24"/>
          <w:szCs w:val="24"/>
          <w:lang w:eastAsia="pl-PL"/>
        </w:rPr>
      </w:pPr>
      <w:r w:rsidRPr="002E63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Mając powyższe na względzie wnosimy o zmniejszenie i ograniczenie kar umownych z tytułu przekroczenia terminu realizacji do wysokości 0,1 % wynagrodzenia brutto za każdy dzień włoki powyżej terminu określonego w par. 3 ust. 2 Projektu Umowy, co w ocenie Wykonawcy jest i tak wysoką sankcją w ramach w/w zamówienia.</w:t>
      </w:r>
    </w:p>
    <w:p w:rsidR="002E0D6F" w:rsidRDefault="002E0D6F" w:rsidP="002E0D6F">
      <w:pPr>
        <w:spacing w:after="200" w:line="276" w:lineRule="auto"/>
        <w:rPr>
          <w:rFonts w:ascii="Cambria,Bold" w:hAnsi="Cambria,Bold" w:cs="Cambria,Bold"/>
          <w:b/>
          <w:bCs/>
          <w:color w:val="000000"/>
        </w:rPr>
      </w:pPr>
    </w:p>
    <w:p w:rsidR="002E0D6F" w:rsidRPr="00ED210B" w:rsidRDefault="002E0D6F" w:rsidP="002E0D6F">
      <w:pPr>
        <w:spacing w:after="20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21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 odpowiada:</w:t>
      </w:r>
    </w:p>
    <w:p w:rsidR="002E0D6F" w:rsidRPr="00ED210B" w:rsidRDefault="002E0D6F" w:rsidP="002E0D6F">
      <w:pPr>
        <w:spacing w:after="20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210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Ad. 1 </w:t>
      </w:r>
    </w:p>
    <w:p w:rsidR="002E0D6F" w:rsidRDefault="002E0D6F" w:rsidP="002E0D6F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Już na wstępie pytania Wykonawca podaje dane nieprawdziwe. Kilkunastodniowe opóźnienie w realizacji przedmiotu zamówienia skutkować może naliczeniem kary umownej w wysokości maksymalnie 1,9 % a nie jak podaje wykonawca kilkunastu procent. W takiej sytuacji nie można mówić o rażąco wysokich karach umownych. Przywołane w dalszej części pytania wyroki Krajowej Izby Odwoławczej i Sądu Najwyższego rozpatrywać należy do konkretnych sytuacji i zdarzeń tj. ustalania przez zamawianego zbyt wygórowanych kar umownych. Z takimi nie mamy tu do czynienia. Również przykład wyroku odnoszący się do wyznaczania zbyt krótkiego terminu realizacji przedmiotu zamówienia nie jest w tym przypadku adekwatny. Zamawiający zaznacza, że w postępowaniu ustalił termin realizacji do 31.08.2019 r. co uwzględniając zakres przedmiotu zamówienia jest czasem wystarczającym do skutecznej realizacji przedmiotu zamówienia. Wobec tego zamawiający nie przychyla się do prośby wykonawcy.</w:t>
      </w:r>
    </w:p>
    <w:p w:rsidR="002E0D6F" w:rsidRDefault="002E0D6F" w:rsidP="002E0D6F"/>
    <w:p w:rsidR="002E0D6F" w:rsidRDefault="002E0D6F" w:rsidP="002E0D6F"/>
    <w:p w:rsidR="002E0D6F" w:rsidRDefault="002E0D6F" w:rsidP="002E0D6F"/>
    <w:p w:rsidR="002E0D6F" w:rsidRDefault="002E0D6F" w:rsidP="002E0D6F"/>
    <w:p w:rsidR="002E0D6F" w:rsidRDefault="002E0D6F" w:rsidP="002E0D6F"/>
    <w:p w:rsidR="002E0D6F" w:rsidRDefault="002E0D6F" w:rsidP="002E0D6F"/>
    <w:p w:rsidR="00C87D5E" w:rsidRDefault="00C87D5E"/>
    <w:sectPr w:rsidR="00C87D5E" w:rsidSect="00302DD6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BAB" w:rsidRDefault="002E0D6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034BAB" w:rsidRDefault="002E0D6F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6F"/>
    <w:rsid w:val="002E0D6F"/>
    <w:rsid w:val="00C8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7F725"/>
  <w15:chartTrackingRefBased/>
  <w15:docId w15:val="{B11CD8B2-D6FA-41E1-AE74-B71D3135A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0D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E0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D6F"/>
  </w:style>
  <w:style w:type="paragraph" w:styleId="Akapitzlist">
    <w:name w:val="List Paragraph"/>
    <w:basedOn w:val="Normalny"/>
    <w:uiPriority w:val="34"/>
    <w:qFormat/>
    <w:rsid w:val="002E0D6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2018-10-16T12:29:00Z</dcterms:created>
  <dcterms:modified xsi:type="dcterms:W3CDTF">2018-10-16T12:30:00Z</dcterms:modified>
</cp:coreProperties>
</file>