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4F7FDE" w:rsidRPr="00267735" w:rsidTr="00F60CE5">
        <w:trPr>
          <w:trHeight w:val="359"/>
        </w:trPr>
        <w:tc>
          <w:tcPr>
            <w:tcW w:w="4248" w:type="dxa"/>
            <w:gridSpan w:val="2"/>
            <w:hideMark/>
          </w:tcPr>
          <w:p w:rsidR="004F7FDE" w:rsidRPr="00267735" w:rsidRDefault="004F7FDE" w:rsidP="00F60C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e-mail: sekretariat@zdp.pwz.pl</w:t>
            </w:r>
          </w:p>
        </w:tc>
        <w:tc>
          <w:tcPr>
            <w:tcW w:w="2700" w:type="dxa"/>
            <w:gridSpan w:val="2"/>
            <w:hideMark/>
          </w:tcPr>
          <w:p w:rsidR="004F7FDE" w:rsidRPr="00267735" w:rsidRDefault="004F7FDE" w:rsidP="00F60C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4F7FDE" w:rsidRPr="00267735" w:rsidRDefault="004F7FDE" w:rsidP="00F60CE5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1B5DD592" wp14:editId="79D7047F">
                  <wp:extent cx="676275" cy="781050"/>
                  <wp:effectExtent l="0" t="0" r="9525" b="0"/>
                  <wp:docPr id="1" name="Obraz 1" descr="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7FDE" w:rsidRPr="00267735" w:rsidTr="00F60CE5">
        <w:trPr>
          <w:trHeight w:val="904"/>
        </w:trPr>
        <w:tc>
          <w:tcPr>
            <w:tcW w:w="6948" w:type="dxa"/>
            <w:gridSpan w:val="4"/>
          </w:tcPr>
          <w:p w:rsidR="004F7FDE" w:rsidRPr="00267735" w:rsidRDefault="004F7FDE" w:rsidP="00F60C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4F7FDE" w:rsidRPr="00267735" w:rsidRDefault="004F7FDE" w:rsidP="00F60CE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  <w:t>05-850 Ożarów Mazowiecki, ul. Poznańska 300</w:t>
            </w:r>
          </w:p>
          <w:p w:rsidR="004F7FDE" w:rsidRPr="00267735" w:rsidRDefault="004F7FDE" w:rsidP="00F60C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4F7FDE" w:rsidRPr="00267735" w:rsidRDefault="004F7FDE" w:rsidP="00F6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</w:p>
        </w:tc>
      </w:tr>
      <w:tr w:rsidR="004F7FDE" w:rsidRPr="00267735" w:rsidTr="00F60CE5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4F7FDE" w:rsidRPr="00267735" w:rsidRDefault="004F7FDE" w:rsidP="00F60C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Tel./Fax    (+22) 722-13-80           </w:t>
            </w:r>
          </w:p>
          <w:p w:rsidR="004F7FDE" w:rsidRPr="00267735" w:rsidRDefault="004F7FDE" w:rsidP="00F60C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4F7FDE" w:rsidRPr="00267735" w:rsidRDefault="004F7FDE" w:rsidP="00F60C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4F7FDE" w:rsidRPr="00267735" w:rsidRDefault="004F7FDE" w:rsidP="00F60C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NIP 118-14-20-774        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4F7FDE" w:rsidRPr="00267735" w:rsidRDefault="004F7FDE" w:rsidP="00F60C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Konto nr 76 1560 0013 2619 7045 3000 0002  </w:t>
            </w:r>
          </w:p>
          <w:p w:rsidR="004F7FDE" w:rsidRPr="00267735" w:rsidRDefault="004F7FDE" w:rsidP="00F60C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Getin Bank</w:t>
            </w:r>
          </w:p>
        </w:tc>
      </w:tr>
    </w:tbl>
    <w:p w:rsidR="004F7FDE" w:rsidRPr="00267735" w:rsidRDefault="004F7FDE" w:rsidP="004F7FDE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076" w:type="dxa"/>
        <w:tblLayout w:type="fixed"/>
        <w:tblLook w:val="04A0" w:firstRow="1" w:lastRow="0" w:firstColumn="1" w:lastColumn="0" w:noHBand="0" w:noVBand="1"/>
      </w:tblPr>
      <w:tblGrid>
        <w:gridCol w:w="2621"/>
        <w:gridCol w:w="4329"/>
        <w:gridCol w:w="2126"/>
      </w:tblGrid>
      <w:tr w:rsidR="004F7FDE" w:rsidRPr="00267735" w:rsidTr="00F60CE5">
        <w:trPr>
          <w:trHeight w:val="610"/>
        </w:trPr>
        <w:tc>
          <w:tcPr>
            <w:tcW w:w="2621" w:type="dxa"/>
            <w:hideMark/>
          </w:tcPr>
          <w:p w:rsidR="004F7FDE" w:rsidRPr="00267735" w:rsidRDefault="004F7FDE" w:rsidP="00F60C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Wasz znak:</w:t>
            </w:r>
          </w:p>
        </w:tc>
        <w:tc>
          <w:tcPr>
            <w:tcW w:w="4329" w:type="dxa"/>
            <w:hideMark/>
          </w:tcPr>
          <w:p w:rsidR="004F7FDE" w:rsidRPr="00267735" w:rsidRDefault="004F7FDE" w:rsidP="00F60C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Nasz znak:                            Nr pisma:</w:t>
            </w:r>
          </w:p>
          <w:p w:rsidR="004F7FDE" w:rsidRPr="00267735" w:rsidRDefault="004F7FDE" w:rsidP="00F60C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ZP-26</w:t>
            </w: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/2018</w:t>
            </w:r>
          </w:p>
        </w:tc>
        <w:tc>
          <w:tcPr>
            <w:tcW w:w="2126" w:type="dxa"/>
            <w:hideMark/>
          </w:tcPr>
          <w:p w:rsidR="004F7FDE" w:rsidRPr="00267735" w:rsidRDefault="004F7FDE" w:rsidP="00F60C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Data:</w:t>
            </w:r>
          </w:p>
          <w:p w:rsidR="004F7FDE" w:rsidRPr="00267735" w:rsidRDefault="004F7FDE" w:rsidP="00F60C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16.10</w:t>
            </w: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.2018 r.</w:t>
            </w:r>
          </w:p>
        </w:tc>
      </w:tr>
    </w:tbl>
    <w:p w:rsidR="004F7FDE" w:rsidRDefault="004F7FDE" w:rsidP="004F7FDE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 wszystkich zainteresowanych</w:t>
      </w:r>
    </w:p>
    <w:p w:rsidR="004F7FDE" w:rsidRPr="00267735" w:rsidRDefault="004F7FDE" w:rsidP="004F7F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F7FDE" w:rsidRPr="004F7FDE" w:rsidRDefault="004F7FDE" w:rsidP="004F7F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267735">
        <w:rPr>
          <w:rFonts w:ascii="Times New Roman" w:eastAsia="Times New Roman" w:hAnsi="Times New Roman"/>
          <w:sz w:val="24"/>
          <w:szCs w:val="24"/>
          <w:lang w:eastAsia="pl-PL"/>
        </w:rPr>
        <w:t>Dotyczy postępowania prowadzonego w trybie pr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etargu nieograniczonego nr ZP-26</w:t>
      </w:r>
      <w:r w:rsidRPr="00267735">
        <w:rPr>
          <w:rFonts w:ascii="Times New Roman" w:eastAsia="Times New Roman" w:hAnsi="Times New Roman"/>
          <w:sz w:val="24"/>
          <w:szCs w:val="24"/>
          <w:lang w:eastAsia="pl-PL"/>
        </w:rPr>
        <w:t>/2018 pn.</w:t>
      </w:r>
      <w:r w:rsidRPr="0026773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267735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„</w:t>
      </w:r>
      <w:r w:rsidRPr="00C110AD">
        <w:rPr>
          <w:rFonts w:ascii="Times New Roman" w:eastAsia="Times New Roman" w:hAnsi="Times New Roman" w:cs="Times New Roman"/>
          <w:b/>
          <w:i/>
          <w:sz w:val="24"/>
          <w:lang w:eastAsia="pl-PL"/>
        </w:rPr>
        <w:t>Rozbudowa drogi powiatowej nr 4123W ul. Kosmowska w zakresie budowy chodnika i odwodnienia – dł. 2350 mb. gm. Stare Babice” – ETAP 1</w:t>
      </w:r>
      <w:bookmarkStart w:id="0" w:name="_GoBack"/>
      <w:bookmarkEnd w:id="0"/>
      <w:r>
        <w:rPr>
          <w:rFonts w:ascii="Times New Roman" w:eastAsia="Times New Roman" w:hAnsi="Times New Roman"/>
          <w:b/>
          <w:i/>
          <w:sz w:val="24"/>
          <w:lang w:eastAsia="pl-PL"/>
        </w:rPr>
        <w:t>”</w:t>
      </w:r>
    </w:p>
    <w:p w:rsidR="004F7FDE" w:rsidRPr="00267735" w:rsidRDefault="004F7FDE" w:rsidP="004F7FD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F7FDE" w:rsidRPr="00267735" w:rsidRDefault="004F7FDE" w:rsidP="004F7FD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7735">
        <w:rPr>
          <w:rFonts w:ascii="Times New Roman" w:eastAsia="Calibri" w:hAnsi="Times New Roman" w:cs="Times New Roman"/>
          <w:sz w:val="24"/>
          <w:szCs w:val="24"/>
        </w:rPr>
        <w:t xml:space="preserve">Zamawiający informuje, że </w:t>
      </w:r>
      <w:r>
        <w:rPr>
          <w:rFonts w:ascii="Times New Roman" w:eastAsia="Calibri" w:hAnsi="Times New Roman" w:cs="Times New Roman"/>
          <w:sz w:val="24"/>
          <w:szCs w:val="24"/>
        </w:rPr>
        <w:t>10.10.2018 r., od Wykonawcy wpłynęły pytania</w:t>
      </w:r>
      <w:r w:rsidRPr="00267735">
        <w:rPr>
          <w:rFonts w:ascii="Times New Roman" w:eastAsia="Calibri" w:hAnsi="Times New Roman" w:cs="Times New Roman"/>
          <w:sz w:val="24"/>
          <w:szCs w:val="24"/>
        </w:rPr>
        <w:t xml:space="preserve"> następującej treści:</w:t>
      </w:r>
    </w:p>
    <w:p w:rsidR="004F7FDE" w:rsidRPr="002E63EF" w:rsidRDefault="004F7FDE" w:rsidP="004F7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</w:pPr>
      <w:r w:rsidRPr="002E63E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Dotyczy par. 15 ust. 2 pkt. 2 Projektu Umowy – kary umownej za opóźnienie w wykonaniu robót w wysokości 0,1 % wynagrodzenia brutto za każdy dzień opóźnienia przez pierwsze 30 dni i 1,0 % wynagrodzenia brutto za każdy dzień opóźnienia powyżej 30 dni od terminu określonego w par. 3 ust. 2 Projektu Umowy, oznacza, że już kilkunastodniowe opóźnienie w rozpoczęciu robót lub zakończeniu realizacji robót powyżej tego terminu spowoduje naliczenie kar umownych w wysokości kilkunastu procent wynagrodzenia Wykonawcy brutto, co w ocenie Wykonawcy jest sankcją zbyt dotkliwą i nie adekwatną do sytuacji. W doktrynie prawa zamówień publicznych oraz aktualnym orzecznictwie Krajowej Izby Odwoławczej przy Prezesie Urz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ędu Zamówień dominuje pogląd, że</w:t>
      </w:r>
      <w:r w:rsidRPr="002E63E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ustanowienie przez Zamawiającego w umowie rażąco wysokich kar umownych uznać należy bezwzględnie za naruszenie zasad zachowania uczciwej konkurencji wyrażonej w przepisie art. 7 ustawy z dnia 29 stycznia 2004 r. prawo zamówień publicznych (tekst jednolity Dz. U. z 2006 roku, nr 164, poz. 1163 z późn. Zm.), które może być uzasadnioną podstawą do żądania unieważnienia postępowania o udzielenie zamówienia publicznego w trybie art. 93 ust. 1 pkt. 7 ustawy prawo zamówień publicznych z uwagi, iż postępowanie jest obarczone wadą uniemożliwiającą zawarcie ważnej umowy w sprawie zamówienia publicznego. Stanowisko powyższe znajduje potwierdzenie m in. Wyroku Krajowej Izby Odwoławczej z dnia 31 lipca 2015 r. sygn.. akt: KIO/1519/15. Zważyć bowiem należy, że kara umowna co do istoty ma charakter wyłącznie odszkodowawczy i kompensacyjny, a nie prewencyjny. Ustalenie przez Zamawiającego zbyt wygórowanych kar umownych dla wykonawców stanowi zatem naruszenie prawa w zakresie równości stron umowy, co w konsekwencji prowadzi do sprzeczności celu takiej umowy z zasadami współżycia społecznego i skutkować winno bezwzględną nieważnością czynności prawnej na podstawie przepisu art. 353</w:t>
      </w:r>
      <w:r w:rsidRPr="002E63E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 xml:space="preserve">1 </w:t>
      </w:r>
      <w:r w:rsidRPr="002E63E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k.c w związku z ar. 58 par. 1 k.c. Należy mieć również na względzie stanowisko Sądu Najwyższego wyrażone w wyroku z 29 listopada 2013 roku Sygn. Akt I CSK 124/13 dotyczącego przesłanek miarkowania kar umownych jako rażąco wygórowanych. W uzasadnieniu wyroku Sąd Najwyższy wskazał, iż „kara umowna nie może być instrumentem służącym wzbogaceniu wierzyciela, a zatem przyznającym mu korzyść  majątkową w istotny sposób przekraczającą wysokość poniesionej przez wierzyciela szkody. Celem miarkowania kary umownej jest natomiast ochrona równowagi interesów stron </w:t>
      </w:r>
      <w:r w:rsidRPr="002E63E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i zapobieżenie nadmiernemu obciążeniu dłużnika oraz niesłusznemu wzbogaceniu wierzyciela”. Ponadto w jednym  ze swoich ostatnich orzeczeń (wyrok z 14 stycznia 2016 r., sygn.. akt. IV CSK 223/15) Sąd Najwyższy podkreślił, że obowiązujący w Polsce system zamówień publicznych niejednokrotnie zmusza potencjalnego wykonawcę do oferowania minimalnego wynagrodzenia oraz akceptowania krótkiego terminu realizacji zamówienia (np. budowy obiektu). Wykonawca jest także często zmuszony zaakceptować wysokość kary umownej w wypadku niewykonania lub nienależytego wykonania zobowiązania. W praktyce prowadzi to często do naruszenia faktycznej równości stron zawieranej umowy, co w ocenie SN jest niedopuszczalne.</w:t>
      </w:r>
    </w:p>
    <w:p w:rsidR="004F7FDE" w:rsidRPr="002E63EF" w:rsidRDefault="004F7FDE" w:rsidP="004F7FDE">
      <w:pPr>
        <w:spacing w:line="240" w:lineRule="auto"/>
        <w:jc w:val="both"/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</w:pPr>
      <w:r w:rsidRPr="002E63E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Mając powyższe na względzie wnosimy o zmniejszenie i ograniczenie kar umownych z tytułu przekroczenia terminu realizacji do wysokości 0,1 % wynagrodzenia brutto za każdy dzień włoki powyżej terminu określonego w par. 3 ust. 2 Projektu Umowy, co w ocenie Wykonawcy jest i tak wysoką sankcją w ramach w/w zamówienia.</w:t>
      </w:r>
    </w:p>
    <w:p w:rsidR="004F7FDE" w:rsidRDefault="004F7FDE" w:rsidP="004F7FDE">
      <w:pPr>
        <w:spacing w:after="200" w:line="276" w:lineRule="auto"/>
        <w:rPr>
          <w:rFonts w:ascii="Cambria,Bold" w:hAnsi="Cambria,Bold" w:cs="Cambria,Bold"/>
          <w:b/>
          <w:bCs/>
          <w:color w:val="000000"/>
        </w:rPr>
      </w:pPr>
    </w:p>
    <w:p w:rsidR="004F7FDE" w:rsidRPr="00ED210B" w:rsidRDefault="004F7FDE" w:rsidP="004F7FDE">
      <w:pPr>
        <w:spacing w:after="200"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210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 odpowiada:</w:t>
      </w:r>
    </w:p>
    <w:p w:rsidR="004F7FDE" w:rsidRPr="00ED210B" w:rsidRDefault="004F7FDE" w:rsidP="004F7FDE">
      <w:pPr>
        <w:spacing w:after="20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210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Ad. 1 </w:t>
      </w:r>
    </w:p>
    <w:p w:rsidR="004F7FDE" w:rsidRDefault="004F7FDE" w:rsidP="004F7FD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Już na wstępie pytania Wykonawca podaje dane nieprawdziwe. Kilkunastodniowe opóźnienie w realizacji przedmiotu zamówienia skutkować może naliczeniem kary umownej w wysokości maksymalnie 1,9 % a nie jak podaje wykonawca kilkunastu procent. W takiej sytuacji nie można mówić o rażąco wysokich karach umownych. Przywołane w dalszej części pytania wyroki Krajowej Izby Odwoławczej i Sądu Najwyższego rozpatrywać należy do konkretnych sytuacji i zdarzeń tj. ustalania przez zamawianego zbyt wygórowanych kar umownych. Z takimi nie mamy tu do czynienia. Również przykład wyroku odnoszący się do wyznaczania zbyt krótkiego terminu realizacji przedmiotu zamówienia nie jest w tym przypadku adekwatny. Zamawiający zaznacza, że w postępowaniu ustalił termin realizacji do 31.08.2019 r. co uwzględniając zakres przedmiotu zamówienia jest czasem wystarczającym do skutecznej realizacji przedmiotu zamówienia. Wobec tego zamawiający nie przychyla się do prośby wykonawcy.</w:t>
      </w:r>
    </w:p>
    <w:p w:rsidR="004F7FDE" w:rsidRDefault="004F7FDE" w:rsidP="004F7FDE"/>
    <w:p w:rsidR="004F7FDE" w:rsidRDefault="004F7FDE" w:rsidP="004F7FDE"/>
    <w:p w:rsidR="004F7FDE" w:rsidRDefault="004F7FDE" w:rsidP="004F7FDE"/>
    <w:p w:rsidR="004F7FDE" w:rsidRDefault="004F7FDE" w:rsidP="004F7FDE"/>
    <w:p w:rsidR="004F7FDE" w:rsidRDefault="004F7FDE" w:rsidP="004F7FDE"/>
    <w:p w:rsidR="004F7FDE" w:rsidRDefault="004F7FDE" w:rsidP="004F7FDE"/>
    <w:p w:rsidR="004F7FDE" w:rsidRDefault="004F7FDE" w:rsidP="004F7FDE"/>
    <w:p w:rsidR="00C87D5E" w:rsidRDefault="00C87D5E"/>
    <w:sectPr w:rsidR="00C87D5E" w:rsidSect="00302DD6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BAB" w:rsidRDefault="004F7FD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034BAB" w:rsidRDefault="004F7FDE">
    <w:pPr>
      <w:pStyle w:val="Stopk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FDE"/>
    <w:rsid w:val="004F7FDE"/>
    <w:rsid w:val="00C8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AF02E"/>
  <w15:chartTrackingRefBased/>
  <w15:docId w15:val="{3CF9E593-AA3F-4436-A016-A21A47AB4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7F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F7F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7FDE"/>
  </w:style>
  <w:style w:type="paragraph" w:styleId="Akapitzlist">
    <w:name w:val="List Paragraph"/>
    <w:basedOn w:val="Normalny"/>
    <w:uiPriority w:val="34"/>
    <w:qFormat/>
    <w:rsid w:val="004F7F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760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1</cp:revision>
  <dcterms:created xsi:type="dcterms:W3CDTF">2018-10-16T12:30:00Z</dcterms:created>
  <dcterms:modified xsi:type="dcterms:W3CDTF">2018-10-16T12:32:00Z</dcterms:modified>
</cp:coreProperties>
</file>